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4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PERJANJIAN KERJASAMA</w:t>
      </w:r>
    </w:p>
    <w:p w:rsidR="00000000" w:rsidDel="00000000" w:rsidP="00000000" w:rsidRDefault="00000000" w:rsidRPr="00000000" w14:paraId="00000002">
      <w:pPr>
        <w:tabs>
          <w:tab w:val="left" w:pos="54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PENANAMAN MODAL KERJA</w:t>
      </w:r>
    </w:p>
    <w:p w:rsidR="00000000" w:rsidDel="00000000" w:rsidP="00000000" w:rsidRDefault="00000000" w:rsidRPr="00000000" w14:paraId="00000003">
      <w:pPr>
        <w:tabs>
          <w:tab w:val="left" w:pos="5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tabs>
          <w:tab w:val="left" w:pos="5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hari ini, 12 Januari 2023 di Jakarta, yang bertanda tangan di bawah ini:</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Investor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yaitu : </w:t>
      </w:r>
      <w:r w:rsidDel="00000000" w:rsidR="00000000" w:rsidRPr="00000000">
        <w:rPr>
          <w:rFonts w:ascii="Times New Roman" w:cs="Times New Roman" w:eastAsia="Times New Roman" w:hAnsi="Times New Roman"/>
          <w:sz w:val="24"/>
          <w:szCs w:val="24"/>
          <w:rtl w:val="0"/>
        </w:rPr>
        <w:t xml:space="preserve">Lewis Khusmanto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selanjutnya disebut sebagai PIHAK PERTAMA</w:t>
      </w:r>
    </w:p>
    <w:p w:rsidR="00000000" w:rsidDel="00000000" w:rsidP="00000000" w:rsidRDefault="00000000" w:rsidRPr="00000000" w14:paraId="00000008">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Perwakilan PT. Komunitas Ide Sejahtera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yaitu : Arief Kurniawan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selanjutnya disebut PIHAK KEDUA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Selanjutnya PIHAK PERTAMA DAN PIHAK KEDUA dapat disebut PARA PIHAK.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bersama-sama Kedua Pihak bersepakat untuk mengadakan perjanjian kerjasama pengerjaan proyek “Pengembangan Sistem Asuransi Jiwa Kredit Bank BSI” dengan skema Berbagi Hasil dan Berbagi Rugi (Syarikat Mudharabah) dalam pekerjaan proyek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yang dikerjakan oleh PT. Komunitas Ide Sejahtera. Dengan ketentuan-ketentuan yang diatur dalam Pasal-Pasal sebagai berikut:</w:t>
      </w:r>
    </w:p>
    <w:p w:rsidR="00000000" w:rsidDel="00000000" w:rsidP="00000000" w:rsidRDefault="00000000" w:rsidRPr="00000000" w14:paraId="0000000F">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Pasal 1</w:t>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Ketentuan Umum</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Pihak Pertama selaku Investor akan menyerahkan sejumlah uang sebagai penyertaan modal untuk dipergunakan dalam pengerjaan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diawasi oleh Para Pihak.</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Pihak akan mengelola pengerjaan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bentuk retail maupun jasa.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Perjanjian Kerjasama Bagi Hasil ini dibuat dan berlaku sejak ditandatanganinya Akad Perjanjian Kerjasama.</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Pihak akan mendapatkan keuntungan hasil pekerjaan menurut pr</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sentase keuntungan yang disepakati bersama dan menanggung kerugian sebagaimana diatur dalam Pasal 4 dan Pasal 5.</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Masing-masing pihak memiliki andil dalam pekerjaan ini, baik modal, tenaga, keahlian, jaringan pasar yang besaran maupun pembagiannya diatur dalam Pasal 2 dan 3 Akad Perjanjian Kerjasama Bagi Hasil ini.</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Pasal 2</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Penjelasan Tentang Modal Usaha dan Jenis Usaha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Modal kerja untuk pengerjaan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 akan disediakan oleh Investor yang namanya tercantum dibawah ini:</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w:t>
        <w:tab/>
        <w:tab/>
        <w:tab/>
        <w:tab/>
        <w:t xml:space="preserve">: </w:t>
      </w:r>
      <w:r w:rsidDel="00000000" w:rsidR="00000000" w:rsidRPr="00000000">
        <w:rPr>
          <w:rFonts w:ascii="Times New Roman" w:cs="Times New Roman" w:eastAsia="Times New Roman" w:hAnsi="Times New Roman"/>
          <w:sz w:val="24"/>
          <w:szCs w:val="24"/>
          <w:rtl w:val="0"/>
        </w:rPr>
        <w:t xml:space="preserve">Lewis Khusmanto</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Tempat dan tanggal lahir </w:t>
        <w:tab/>
        <w:t xml:space="preserve">: </w:t>
      </w:r>
      <w:r w:rsidDel="00000000" w:rsidR="00000000" w:rsidRPr="00000000">
        <w:rPr>
          <w:rFonts w:ascii="Times New Roman" w:cs="Times New Roman" w:eastAsia="Times New Roman" w:hAnsi="Times New Roman"/>
          <w:sz w:val="24"/>
          <w:szCs w:val="24"/>
          <w:rtl w:val="0"/>
        </w:rPr>
        <w:t xml:space="preserve">Pekanbaru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Februari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Nomor KTP</w:t>
        <w:tab/>
        <w:tab/>
        <w:tab/>
        <w:t xml:space="preserve">: </w:t>
      </w:r>
      <w:r w:rsidDel="00000000" w:rsidR="00000000" w:rsidRPr="00000000">
        <w:rPr>
          <w:rFonts w:ascii="Times New Roman" w:cs="Times New Roman" w:eastAsia="Times New Roman" w:hAnsi="Times New Roman"/>
          <w:sz w:val="24"/>
          <w:szCs w:val="24"/>
          <w:rtl w:val="0"/>
        </w:rPr>
        <w:t xml:space="preserve">1471050502960002</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Alamat</w:t>
        <w:tab/>
        <w:tab/>
        <w:tab/>
        <w:tab/>
        <w:t xml:space="preserve">: </w:t>
      </w:r>
      <w:r w:rsidDel="00000000" w:rsidR="00000000" w:rsidRPr="00000000">
        <w:rPr>
          <w:rFonts w:ascii="Times New Roman" w:cs="Times New Roman" w:eastAsia="Times New Roman" w:hAnsi="Times New Roman"/>
          <w:sz w:val="24"/>
          <w:szCs w:val="24"/>
          <w:rtl w:val="0"/>
        </w:rPr>
        <w:t xml:space="preserve">Jl. Saman Hudi No.04 RT/RW 001/003 Kel. Sago,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09" w:right="0" w:firstLine="11.0000000000002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Kec.Senapelan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Besarnya modal yang disetorkan oleh pihak pertama dalam kerjasama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adalah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Rp. 100,000,000 (Seratus Juta Rupiah)</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Modal yang disetorkan oleh Pihak Pertama sebagaimana disebutkan dalam Butir 2 Pasal 2 diatas akan digunakan untuk kebutuhan pengerjaan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sesuai RAB terlampir yang menjadi satu dengan akad perjanjian ini.</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Pasal 3</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Pengelola Usaha</w:t>
      </w:r>
    </w:p>
    <w:p w:rsidR="00000000" w:rsidDel="00000000" w:rsidP="00000000" w:rsidRDefault="00000000" w:rsidRPr="00000000" w14:paraId="00000027">
      <w:pPr>
        <w:spacing w:before="7" w:line="26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PIHAK sebagai Investor dan juga pengelola pekerjaan proyek “Pengembangan Sistem Asuransi Jiwa Kredit Bank BSI” pada Badan Usaha bernama PT. Komunitas Ide Sejahtera :</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170"/>
        </w:tabs>
        <w:spacing w:after="0" w:before="0" w:line="240" w:lineRule="auto"/>
        <w:ind w:left="34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PIHAK PERTAMA selaku Investor modal kerja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tabs>
          <w:tab w:val="left" w:pos="1170"/>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17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w:t>
        <w:tab/>
        <w:tab/>
        <w:tab/>
        <w:tab/>
        <w:t xml:space="preserve">: </w:t>
      </w:r>
      <w:r w:rsidDel="00000000" w:rsidR="00000000" w:rsidRPr="00000000">
        <w:rPr>
          <w:rFonts w:ascii="Times New Roman" w:cs="Times New Roman" w:eastAsia="Times New Roman" w:hAnsi="Times New Roman"/>
          <w:sz w:val="24"/>
          <w:szCs w:val="24"/>
          <w:rtl w:val="0"/>
        </w:rPr>
        <w:t xml:space="preserve">Lewis Khusmanto</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17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Tempat  dan Tanggal Lahir</w:t>
        <w:tab/>
        <w:t xml:space="preserve">: </w:t>
      </w:r>
      <w:r w:rsidDel="00000000" w:rsidR="00000000" w:rsidRPr="00000000">
        <w:rPr>
          <w:rFonts w:ascii="Times New Roman" w:cs="Times New Roman" w:eastAsia="Times New Roman" w:hAnsi="Times New Roman"/>
          <w:sz w:val="24"/>
          <w:szCs w:val="24"/>
          <w:rtl w:val="0"/>
        </w:rPr>
        <w:t xml:space="preserve">Pekanbaru, 05 Februari 1996</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17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Nomor KTP</w:t>
        <w:tab/>
        <w:tab/>
        <w:tab/>
        <w:t xml:space="preserve">: </w:t>
      </w:r>
      <w:r w:rsidDel="00000000" w:rsidR="00000000" w:rsidRPr="00000000">
        <w:rPr>
          <w:rFonts w:ascii="Times New Roman" w:cs="Times New Roman" w:eastAsia="Times New Roman" w:hAnsi="Times New Roman"/>
          <w:sz w:val="24"/>
          <w:szCs w:val="24"/>
          <w:rtl w:val="0"/>
        </w:rPr>
        <w:t xml:space="preserve">1471050502960002</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17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Alamat</w:t>
        <w:tab/>
        <w:tab/>
        <w:tab/>
        <w:tab/>
        <w:t xml:space="preserve">: </w:t>
      </w:r>
      <w:r w:rsidDel="00000000" w:rsidR="00000000" w:rsidRPr="00000000">
        <w:rPr>
          <w:rFonts w:ascii="Times New Roman" w:cs="Times New Roman" w:eastAsia="Times New Roman" w:hAnsi="Times New Roman"/>
          <w:sz w:val="24"/>
          <w:szCs w:val="24"/>
          <w:rtl w:val="0"/>
        </w:rPr>
        <w:t xml:space="preserve">Jl. Saman Hudi No.04 RT/RW 001/003 Kel. Sago, </w:t>
      </w:r>
    </w:p>
    <w:p w:rsidR="00000000" w:rsidDel="00000000" w:rsidP="00000000" w:rsidRDefault="00000000" w:rsidRPr="00000000" w14:paraId="0000002E">
      <w:pPr>
        <w:spacing w:after="0" w:line="240" w:lineRule="auto"/>
        <w:ind w:left="4309" w:firstLine="11.0000000000002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Kec.Senapelan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70"/>
        </w:tabs>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spacing w:before="7" w:line="2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PIHAK KEDUA selaku Perwakilan PT. Komunitas Ide Sejahtera:</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170"/>
        </w:tabs>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w:t>
        <w:tab/>
        <w:tab/>
        <w:tab/>
        <w:tab/>
        <w:t xml:space="preserve">: Arief Kurniawan</w:t>
      </w:r>
    </w:p>
    <w:p w:rsidR="00000000" w:rsidDel="00000000" w:rsidP="00000000" w:rsidRDefault="00000000" w:rsidRPr="00000000" w14:paraId="000000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170"/>
        </w:tabs>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Tempat  dan Tanggal Lahir</w:t>
        <w:tab/>
        <w:t xml:space="preserve">: Jakarta 30 Januari 1981</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170"/>
        </w:tabs>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Nomor KTP</w:t>
        <w:tab/>
        <w:tab/>
        <w:tab/>
        <w:t xml:space="preserve">: 3674063001810007</w:t>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1170"/>
        </w:tabs>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Alamat</w:t>
        <w:tab/>
        <w:tab/>
        <w:tab/>
        <w:tab/>
        <w:t xml:space="preserve">: GG. Saidin RT/RW 004/003, Bambu Apus,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70"/>
        </w:tabs>
        <w:spacing w:after="0" w:before="0" w:line="360" w:lineRule="auto"/>
        <w:ind w:left="106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 xml:space="preserve">  Pamulang, Tanggerang Selatan.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49"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mengerjakan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pengelola dibantu oleh sejumlah orang sebagai karyawan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Pasal 4</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Keuntungan</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Keuntungan  hasil usaha adalah keuntungan hasil bersih yang diperoleh dari kegiatan usaha. Simulasi penggunaan dana Pihak Kedua dalam transaksi perdagangan ini dibuat dalam lampiran yang menjadi acuan kedua belah pihak dalam melakukan perhitungan Bagi Hasil Usaha.</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Impas adalah kegiatan usaha yang tidak memperoleh keuntungan usaha dan tidak menderita kerugian usaha.</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Pembagian keuntungan hasil usaha yang disepakati PARA PIHAK, adalah Total Pendapatan dikurangi kewajiban pengeluaran serta pembelian setiap bulan dan juga biaya kewajiban pajak sesuai ketentuan perundang-undangan yang berlaku. </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PIHAK PERTAMA mendapat keuntungan sesuai simulasi keuntungan yang terlampir pada RAB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dari keuntungan bersih hasil yang menjadi bagian tidak terpisahkan dari Akad ini.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Pasal 5</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Kerugian</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Kerugian usaha adalah hasil usaha dikurangi pengeluaran usaha bernilai negatif atau besar modal usaha menjadi berkurang atau musnah yang diakibatkan kegagalan dalam kegiatan usaha karena berbagai hal diluar batas yang dapat dikendalikan dan dikontrol oleh Pengelola Usaha.</w:t>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Kerugian usaha pada hakikatnya ditanggung PARA PIHAK. Sesuai dengan Perjanjian Kerjasama Bagi Hasil, tanggungan kerugiannya adalah sebagai berikut:</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Kerugian usaha akibat sesuatu yang di luar kemampuan dan kendali pihak pengelola (Force majure), maka kerugian modal usaha ditanggung seluruhnya oleh pemilik modal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Kerugian tenaga pengelolaan usaha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(skill manajemen),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 yang digunakan untuk mengelola usaha, tenaga dan kerugian akibat kesalahan pengelolaan usaha ditanggung oleh Para Pihak</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Pasal 6</w:t>
      </w:r>
    </w:p>
    <w:p w:rsidR="00000000" w:rsidDel="00000000" w:rsidP="00000000" w:rsidRDefault="00000000" w:rsidRPr="00000000" w14:paraId="0000004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Perhitungan Untung-Rugi</w:t>
      </w:r>
    </w:p>
    <w:p w:rsidR="00000000" w:rsidDel="00000000" w:rsidP="00000000" w:rsidRDefault="00000000" w:rsidRPr="00000000" w14:paraId="000000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PIHAK KEDUA akan melaporankan hasil kegiatan usaha kepada PIHAK PERTAMA pada saat pengerjaan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telah usai dan memberikan laporan terperinci mengenai biaya oprasional (pengeluaran) dan pendapatan yang di audit kembali oleh PARA PIHAK.</w:t>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akan dikirimkan melalui surat elektronik (email) maupun secara langsung.</w:t>
      </w:r>
    </w:p>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terperinci yang sudah disepakati PARA PIHAK, jika sudah diterima, maka bisa dilakukan pembagian bagi hasil keuntungan sesuai pasal 4.</w:t>
      </w:r>
    </w:p>
    <w:p w:rsidR="00000000" w:rsidDel="00000000" w:rsidP="00000000" w:rsidRDefault="00000000" w:rsidRPr="00000000" w14:paraId="000000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Penyerahan bagi-hasil keuntungan akan dilaksanakan selambat-lambatnya 3 hari kerja setelah laporan bisa diterima.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Pasal 7</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Jangka Waktu Perjanjian dan Tata Waktu Kerjasama Bagi Hasil</w:t>
      </w:r>
    </w:p>
    <w:p w:rsidR="00000000" w:rsidDel="00000000" w:rsidP="00000000" w:rsidRDefault="00000000" w:rsidRPr="00000000" w14:paraId="0000004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Jangka waktu Perjanjian Kerjasama Bagi Hasil yang tersebut pada Pasal 1 terhitung setelah Perjanjian ini ditandatangani sampai dengan pengerjaan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selesai yang di proyeksikan paling lama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bulan kerja.</w:t>
      </w:r>
    </w:p>
    <w:p w:rsidR="00000000" w:rsidDel="00000000" w:rsidP="00000000" w:rsidRDefault="00000000" w:rsidRPr="00000000" w14:paraId="0000005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Bila PARA PIHAK menyepakati untuk mengakhiri Akad Perjanjian Kerjasama ini, maka dana investasi yang disetorkan dikurangi penggunaan selama masa yang dibuat terperinci pada laporan penggunaan anggaran kerja dikembalikan ke investor.</w:t>
      </w:r>
    </w:p>
    <w:p w:rsidR="00000000" w:rsidDel="00000000" w:rsidP="00000000" w:rsidRDefault="00000000" w:rsidRPr="00000000" w14:paraId="000000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Tata waktu dan alur kerja pelaksanaan Akad Perjanjian disusun berdasarkan jadwal kerja sebagai berikut: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165.0" w:type="dxa"/>
        <w:jc w:val="left"/>
        <w:tblLayout w:type="fixed"/>
        <w:tblLook w:val="0400"/>
      </w:tblPr>
      <w:tblGrid>
        <w:gridCol w:w="405"/>
        <w:gridCol w:w="3210"/>
        <w:gridCol w:w="810"/>
        <w:gridCol w:w="795"/>
        <w:gridCol w:w="840"/>
        <w:gridCol w:w="795"/>
        <w:gridCol w:w="840"/>
        <w:gridCol w:w="765"/>
        <w:gridCol w:w="705"/>
        <w:tblGridChange w:id="0">
          <w:tblGrid>
            <w:gridCol w:w="405"/>
            <w:gridCol w:w="3210"/>
            <w:gridCol w:w="810"/>
            <w:gridCol w:w="795"/>
            <w:gridCol w:w="840"/>
            <w:gridCol w:w="795"/>
            <w:gridCol w:w="840"/>
            <w:gridCol w:w="765"/>
            <w:gridCol w:w="705"/>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cccccc" w:space="0" w:sz="6" w:val="single"/>
            </w:tcBorders>
            <w:tcMar>
              <w:top w:w="30.0" w:type="dxa"/>
              <w:left w:w="0.0" w:type="dxa"/>
              <w:bottom w:w="30.0" w:type="dxa"/>
              <w:right w:w="0.0" w:type="dxa"/>
            </w:tcMar>
            <w:vAlign w:val="center"/>
          </w:tcPr>
          <w:p w:rsidR="00000000" w:rsidDel="00000000" w:rsidP="00000000" w:rsidRDefault="00000000" w:rsidRPr="00000000" w14:paraId="00000055">
            <w:pPr>
              <w:spacing w:after="0" w:lineRule="auto"/>
              <w:rPr>
                <w:rFonts w:ascii="Tahoma" w:cs="Tahoma" w:eastAsia="Tahoma" w:hAnsi="Tahoma"/>
                <w:b w:val="1"/>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56">
            <w:pPr>
              <w:spacing w:after="0" w:lineRule="auto"/>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TIMELINE AJK BSI</w:t>
            </w:r>
          </w:p>
        </w:tc>
        <w:tc>
          <w:tcPr>
            <w:gridSpan w:val="7"/>
            <w:tcBorders>
              <w:top w:color="000000" w:space="0" w:sz="6" w:val="single"/>
              <w:left w:color="cccccc" w:space="0" w:sz="6" w:val="single"/>
              <w:bottom w:color="000000" w:space="0" w:sz="6" w:val="single"/>
              <w:right w:color="000000" w:space="0" w:sz="6" w:val="single"/>
            </w:tcBorders>
            <w:shd w:fill="92d050" w:val="clear"/>
            <w:tcMar>
              <w:top w:w="30.0" w:type="dxa"/>
              <w:left w:w="45.0" w:type="dxa"/>
              <w:bottom w:w="30.0" w:type="dxa"/>
              <w:right w:w="45.0" w:type="dxa"/>
            </w:tcMar>
            <w:vAlign w:val="center"/>
          </w:tcPr>
          <w:p w:rsidR="00000000" w:rsidDel="00000000" w:rsidP="00000000" w:rsidRDefault="00000000" w:rsidRPr="00000000" w14:paraId="00000057">
            <w:pPr>
              <w:spacing w:after="0" w:lineRule="auto"/>
              <w:jc w:val="center"/>
              <w:rPr>
                <w:rFonts w:ascii="Calibri" w:cs="Calibri" w:eastAsia="Calibri" w:hAnsi="Calibri"/>
                <w:b w:val="1"/>
                <w:color w:val="000000"/>
                <w:sz w:val="22"/>
                <w:szCs w:val="22"/>
              </w:rPr>
            </w:pPr>
            <w:r w:rsidDel="00000000" w:rsidR="00000000" w:rsidRPr="00000000">
              <w:rPr>
                <w:b w:val="1"/>
                <w:rtl w:val="0"/>
              </w:rPr>
              <w:t xml:space="preserve">6</w:t>
            </w:r>
            <w:r w:rsidDel="00000000" w:rsidR="00000000" w:rsidRPr="00000000">
              <w:rPr>
                <w:rFonts w:ascii="Calibri" w:cs="Calibri" w:eastAsia="Calibri" w:hAnsi="Calibri"/>
                <w:b w:val="1"/>
                <w:color w:val="000000"/>
                <w:rtl w:val="0"/>
              </w:rPr>
              <w:t xml:space="preserve"> Bulan Kerja</w:t>
            </w:r>
            <w:r w:rsidDel="00000000" w:rsidR="00000000" w:rsidRPr="00000000">
              <w:rPr>
                <w:rtl w:val="0"/>
              </w:rPr>
            </w:r>
          </w:p>
        </w:tc>
      </w:tr>
      <w:tr>
        <w:trPr>
          <w:cantSplit w:val="0"/>
          <w:trHeight w:val="424" w:hRule="atLeast"/>
          <w:tblHeader w:val="0"/>
        </w:trPr>
        <w:tc>
          <w:tcPr>
            <w:tcBorders>
              <w:top w:color="cccccc" w:space="0" w:sz="6" w:val="single"/>
              <w:left w:color="000000" w:space="0" w:sz="6" w:val="single"/>
              <w:bottom w:color="000000" w:space="0" w:sz="6" w:val="single"/>
              <w:right w:color="000000" w:space="0" w:sz="6" w:val="single"/>
            </w:tcBorders>
            <w:shd w:fill="a4c2f4" w:val="clear"/>
            <w:tcMar>
              <w:top w:w="30.0" w:type="dxa"/>
              <w:left w:w="45.0" w:type="dxa"/>
              <w:bottom w:w="30.0" w:type="dxa"/>
              <w:right w:w="45.0" w:type="dxa"/>
            </w:tcMar>
            <w:vAlign w:val="center"/>
          </w:tcPr>
          <w:p w:rsidR="00000000" w:rsidDel="00000000" w:rsidP="00000000" w:rsidRDefault="00000000" w:rsidRPr="00000000" w14:paraId="0000005E">
            <w:pPr>
              <w:spacing w:after="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No.</w:t>
            </w:r>
          </w:p>
        </w:tc>
        <w:tc>
          <w:tcPr>
            <w:tcBorders>
              <w:top w:color="cccccc" w:space="0" w:sz="6" w:val="single"/>
              <w:left w:color="cccccc" w:space="0" w:sz="6" w:val="single"/>
              <w:bottom w:color="000000" w:space="0" w:sz="6" w:val="single"/>
              <w:right w:color="000000" w:space="0" w:sz="6" w:val="single"/>
            </w:tcBorders>
            <w:shd w:fill="a4c2f4" w:val="clear"/>
            <w:tcMar>
              <w:top w:w="30.0" w:type="dxa"/>
              <w:left w:w="45.0" w:type="dxa"/>
              <w:bottom w:w="30.0" w:type="dxa"/>
              <w:right w:w="45.0" w:type="dxa"/>
            </w:tcMar>
            <w:vAlign w:val="center"/>
          </w:tcPr>
          <w:p w:rsidR="00000000" w:rsidDel="00000000" w:rsidP="00000000" w:rsidRDefault="00000000" w:rsidRPr="00000000" w14:paraId="0000005F">
            <w:pPr>
              <w:spacing w:after="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Bulan</w:t>
            </w:r>
          </w:p>
        </w:tc>
        <w:tc>
          <w:tcPr>
            <w:tcBorders>
              <w:top w:color="cccccc" w:space="0" w:sz="6" w:val="single"/>
              <w:left w:color="cccccc" w:space="0" w:sz="6" w:val="single"/>
              <w:bottom w:color="000000" w:space="0" w:sz="6" w:val="single"/>
              <w:right w:color="000000" w:space="0" w:sz="6" w:val="single"/>
            </w:tcBorders>
            <w:shd w:fill="a4c2f4" w:val="clear"/>
            <w:tcMar>
              <w:top w:w="30.0" w:type="dxa"/>
              <w:left w:w="45.0" w:type="dxa"/>
              <w:bottom w:w="30.0" w:type="dxa"/>
              <w:right w:w="45.0" w:type="dxa"/>
            </w:tcMar>
            <w:vAlign w:val="center"/>
          </w:tcPr>
          <w:p w:rsidR="00000000" w:rsidDel="00000000" w:rsidP="00000000" w:rsidRDefault="00000000" w:rsidRPr="00000000" w14:paraId="00000060">
            <w:pPr>
              <w:spacing w:after="0" w:lineRule="auto"/>
              <w:jc w:val="center"/>
              <w:rPr>
                <w:rFonts w:ascii="Calibri" w:cs="Calibri" w:eastAsia="Calibri" w:hAnsi="Calibri"/>
                <w:b w:val="1"/>
                <w:color w:val="000000"/>
              </w:rPr>
            </w:pPr>
            <w:r w:rsidDel="00000000" w:rsidR="00000000" w:rsidRPr="00000000">
              <w:rPr>
                <w:b w:val="1"/>
                <w:rtl w:val="0"/>
              </w:rPr>
              <w:t xml:space="preserve">Jan23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4c2f4" w:val="clear"/>
            <w:tcMar>
              <w:top w:w="30.0" w:type="dxa"/>
              <w:left w:w="45.0" w:type="dxa"/>
              <w:bottom w:w="30.0" w:type="dxa"/>
              <w:right w:w="45.0" w:type="dxa"/>
            </w:tcMar>
            <w:vAlign w:val="center"/>
          </w:tcPr>
          <w:p w:rsidR="00000000" w:rsidDel="00000000" w:rsidP="00000000" w:rsidRDefault="00000000" w:rsidRPr="00000000" w14:paraId="00000061">
            <w:pPr>
              <w:spacing w:after="0" w:lineRule="auto"/>
              <w:jc w:val="center"/>
              <w:rPr>
                <w:rFonts w:ascii="Calibri" w:cs="Calibri" w:eastAsia="Calibri" w:hAnsi="Calibri"/>
                <w:b w:val="1"/>
                <w:color w:val="000000"/>
              </w:rPr>
            </w:pPr>
            <w:r w:rsidDel="00000000" w:rsidR="00000000" w:rsidRPr="00000000">
              <w:rPr>
                <w:b w:val="1"/>
                <w:rtl w:val="0"/>
              </w:rPr>
              <w:t xml:space="preserve">Feb23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4c2f4" w:val="clear"/>
            <w:tcMar>
              <w:top w:w="30.0" w:type="dxa"/>
              <w:left w:w="45.0" w:type="dxa"/>
              <w:bottom w:w="30.0" w:type="dxa"/>
              <w:right w:w="45.0" w:type="dxa"/>
            </w:tcMar>
            <w:vAlign w:val="center"/>
          </w:tcPr>
          <w:p w:rsidR="00000000" w:rsidDel="00000000" w:rsidP="00000000" w:rsidRDefault="00000000" w:rsidRPr="00000000" w14:paraId="00000062">
            <w:pPr>
              <w:spacing w:after="0" w:lineRule="auto"/>
              <w:jc w:val="center"/>
              <w:rPr>
                <w:rFonts w:ascii="Calibri" w:cs="Calibri" w:eastAsia="Calibri" w:hAnsi="Calibri"/>
                <w:b w:val="1"/>
                <w:color w:val="000000"/>
              </w:rPr>
            </w:pPr>
            <w:r w:rsidDel="00000000" w:rsidR="00000000" w:rsidRPr="00000000">
              <w:rPr>
                <w:b w:val="1"/>
                <w:rtl w:val="0"/>
              </w:rPr>
              <w:t xml:space="preserve">Mar23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4c2f4" w:val="clear"/>
            <w:tcMar>
              <w:top w:w="30.0" w:type="dxa"/>
              <w:left w:w="45.0" w:type="dxa"/>
              <w:bottom w:w="30.0" w:type="dxa"/>
              <w:right w:w="45.0" w:type="dxa"/>
            </w:tcMar>
            <w:vAlign w:val="center"/>
          </w:tcPr>
          <w:p w:rsidR="00000000" w:rsidDel="00000000" w:rsidP="00000000" w:rsidRDefault="00000000" w:rsidRPr="00000000" w14:paraId="00000063">
            <w:pPr>
              <w:spacing w:after="0" w:lineRule="auto"/>
              <w:jc w:val="center"/>
              <w:rPr>
                <w:rFonts w:ascii="Calibri" w:cs="Calibri" w:eastAsia="Calibri" w:hAnsi="Calibri"/>
                <w:b w:val="1"/>
                <w:color w:val="000000"/>
              </w:rPr>
            </w:pPr>
            <w:r w:rsidDel="00000000" w:rsidR="00000000" w:rsidRPr="00000000">
              <w:rPr>
                <w:b w:val="1"/>
                <w:rtl w:val="0"/>
              </w:rPr>
              <w:t xml:space="preserve">Apr23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4c2f4" w:val="clear"/>
            <w:tcMar>
              <w:top w:w="30.0" w:type="dxa"/>
              <w:left w:w="45.0" w:type="dxa"/>
              <w:bottom w:w="30.0" w:type="dxa"/>
              <w:right w:w="45.0" w:type="dxa"/>
            </w:tcMar>
            <w:vAlign w:val="center"/>
          </w:tcPr>
          <w:p w:rsidR="00000000" w:rsidDel="00000000" w:rsidP="00000000" w:rsidRDefault="00000000" w:rsidRPr="00000000" w14:paraId="00000064">
            <w:pPr>
              <w:spacing w:after="0" w:lineRule="auto"/>
              <w:jc w:val="center"/>
              <w:rPr>
                <w:rFonts w:ascii="Calibri" w:cs="Calibri" w:eastAsia="Calibri" w:hAnsi="Calibri"/>
                <w:b w:val="1"/>
                <w:color w:val="000000"/>
              </w:rPr>
            </w:pPr>
            <w:r w:rsidDel="00000000" w:rsidR="00000000" w:rsidRPr="00000000">
              <w:rPr>
                <w:b w:val="1"/>
                <w:rtl w:val="0"/>
              </w:rPr>
              <w:t xml:space="preserve">Mei23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4c2f4" w:val="clear"/>
            <w:tcMar>
              <w:top w:w="30.0" w:type="dxa"/>
              <w:left w:w="45.0" w:type="dxa"/>
              <w:bottom w:w="30.0" w:type="dxa"/>
              <w:right w:w="45.0" w:type="dxa"/>
            </w:tcMar>
            <w:vAlign w:val="center"/>
          </w:tcPr>
          <w:p w:rsidR="00000000" w:rsidDel="00000000" w:rsidP="00000000" w:rsidRDefault="00000000" w:rsidRPr="00000000" w14:paraId="00000065">
            <w:pPr>
              <w:spacing w:after="0" w:lineRule="auto"/>
              <w:jc w:val="center"/>
              <w:rPr>
                <w:rFonts w:ascii="Calibri" w:cs="Calibri" w:eastAsia="Calibri" w:hAnsi="Calibri"/>
                <w:b w:val="1"/>
                <w:color w:val="000000"/>
              </w:rPr>
            </w:pPr>
            <w:r w:rsidDel="00000000" w:rsidR="00000000" w:rsidRPr="00000000">
              <w:rPr>
                <w:b w:val="1"/>
                <w:rtl w:val="0"/>
              </w:rPr>
              <w:t xml:space="preserve">Jun23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4c2f4" w:val="clear"/>
            <w:tcMar>
              <w:top w:w="30.0" w:type="dxa"/>
              <w:left w:w="45.0" w:type="dxa"/>
              <w:bottom w:w="30.0" w:type="dxa"/>
              <w:right w:w="45.0" w:type="dxa"/>
            </w:tcMar>
            <w:vAlign w:val="center"/>
          </w:tcPr>
          <w:p w:rsidR="00000000" w:rsidDel="00000000" w:rsidP="00000000" w:rsidRDefault="00000000" w:rsidRPr="00000000" w14:paraId="00000066">
            <w:pPr>
              <w:spacing w:after="0" w:lineRule="auto"/>
              <w:jc w:val="center"/>
              <w:rPr>
                <w:rFonts w:ascii="Calibri" w:cs="Calibri" w:eastAsia="Calibri" w:hAnsi="Calibri"/>
                <w:b w:val="1"/>
                <w:color w:val="000000"/>
              </w:rPr>
            </w:pPr>
            <w:r w:rsidDel="00000000" w:rsidR="00000000" w:rsidRPr="00000000">
              <w:rPr>
                <w:b w:val="1"/>
                <w:rtl w:val="0"/>
              </w:rPr>
              <w:t xml:space="preserve">Jul23</w:t>
            </w:r>
            <w:r w:rsidDel="00000000" w:rsidR="00000000" w:rsidRPr="00000000">
              <w:rPr>
                <w:rtl w:val="0"/>
              </w:rPr>
            </w:r>
          </w:p>
        </w:tc>
      </w:tr>
      <w:tr>
        <w:trPr>
          <w:cantSplit w:val="0"/>
          <w:trHeight w:val="183"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7">
            <w:pPr>
              <w:spacing w:after="0" w:lineRule="auto"/>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8">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Analisis Kebutuhan</w:t>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69">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A">
            <w:pPr>
              <w:spacing w:after="0" w:lineRule="auto"/>
              <w:rPr>
                <w:rFonts w:ascii="Arial" w:cs="Arial" w:eastAsia="Arial" w:hAnsi="Arial"/>
                <w:color w:val="ff99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B">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C">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D">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E">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6F">
            <w:pPr>
              <w:spacing w:after="0" w:lineRule="auto"/>
              <w:rPr/>
            </w:pPr>
            <w:r w:rsidDel="00000000" w:rsidR="00000000" w:rsidRPr="00000000">
              <w:rPr>
                <w:rtl w:val="0"/>
              </w:rPr>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0">
            <w:pPr>
              <w:spacing w:after="0" w:lineRule="auto"/>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1">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Sewa &amp; Setup VPS Utama</w:t>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72">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3">
            <w:pPr>
              <w:spacing w:after="0" w:lineRule="auto"/>
              <w:rPr>
                <w:rFonts w:ascii="Arial" w:cs="Arial" w:eastAsia="Arial" w:hAnsi="Arial"/>
                <w:color w:val="ff99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4">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5">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6">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7">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8">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9">
            <w:pPr>
              <w:spacing w:after="0" w:lineRule="auto"/>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A">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Sewa &amp; Setup VPS Cadangan</w:t>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7B">
            <w:pPr>
              <w:spacing w:after="0"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C">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D">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7E">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F">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80">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81">
            <w:pPr>
              <w:spacing w:after="0" w:lineRule="auto"/>
              <w:rPr/>
            </w:pPr>
            <w:r w:rsidDel="00000000" w:rsidR="00000000" w:rsidRPr="00000000">
              <w:rPr>
                <w:rtl w:val="0"/>
              </w:rPr>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2">
            <w:pPr>
              <w:spacing w:after="0" w:lineRule="auto"/>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3">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Setup Polis &amp; TC ke sistem</w:t>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84">
            <w:pPr>
              <w:spacing w:after="0"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85">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6">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7">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88">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89">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8A">
            <w:pPr>
              <w:spacing w:after="0" w:lineRule="auto"/>
              <w:rPr/>
            </w:pPr>
            <w:r w:rsidDel="00000000" w:rsidR="00000000" w:rsidRPr="00000000">
              <w:rPr>
                <w:rtl w:val="0"/>
              </w:rPr>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B">
            <w:pPr>
              <w:spacing w:after="0" w:lineRule="auto"/>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C">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Modifikasi Database Master</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8D">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8E">
            <w:pPr>
              <w:spacing w:after="0" w:lineRule="auto"/>
              <w:rPr>
                <w:rFonts w:ascii="Arial" w:cs="Arial" w:eastAsia="Arial" w:hAnsi="Arial"/>
                <w:color w:val="ff99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8F">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0">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1">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2">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3">
            <w:pPr>
              <w:spacing w:after="0" w:lineRule="auto"/>
              <w:rPr/>
            </w:pPr>
            <w:r w:rsidDel="00000000" w:rsidR="00000000" w:rsidRPr="00000000">
              <w:rPr>
                <w:rtl w:val="0"/>
              </w:rPr>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4">
            <w:pPr>
              <w:spacing w:after="0" w:lineRule="auto"/>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6</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5">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Modifikasi Interface Bank</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96">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97">
            <w:pPr>
              <w:spacing w:after="0" w:lineRule="auto"/>
              <w:rPr>
                <w:rFonts w:ascii="Arial" w:cs="Arial" w:eastAsia="Arial" w:hAnsi="Arial"/>
                <w:color w:val="ff99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98">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99">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A">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B">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C">
            <w:pPr>
              <w:spacing w:after="0" w:lineRule="auto"/>
              <w:rPr/>
            </w:pPr>
            <w:r w:rsidDel="00000000" w:rsidR="00000000" w:rsidRPr="00000000">
              <w:rPr>
                <w:rtl w:val="0"/>
              </w:rPr>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D">
            <w:pPr>
              <w:spacing w:after="0" w:lineRule="auto"/>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7</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E">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UAT &amp; Bug fixing</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9F">
            <w:pPr>
              <w:spacing w:after="0"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A0">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A1">
            <w:pPr>
              <w:spacing w:after="0" w:lineRule="auto"/>
              <w:rPr>
                <w:rFonts w:ascii="Arial" w:cs="Arial" w:eastAsia="Arial" w:hAnsi="Arial"/>
                <w:color w:val="ff99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A2">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A3">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A4">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A5">
            <w:pPr>
              <w:spacing w:after="0" w:lineRule="auto"/>
              <w:rPr/>
            </w:pPr>
            <w:r w:rsidDel="00000000" w:rsidR="00000000" w:rsidRPr="00000000">
              <w:rPr>
                <w:rtl w:val="0"/>
              </w:rPr>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A6">
            <w:pPr>
              <w:spacing w:after="0" w:lineRule="auto"/>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8</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A7">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Bimtek &amp; sosialisasi ke Bank BSI</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A8">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A9">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AA">
            <w:pPr>
              <w:spacing w:after="0" w:lineRule="auto"/>
              <w:rPr>
                <w:rFonts w:ascii="Arial" w:cs="Arial" w:eastAsia="Arial" w:hAnsi="Arial"/>
                <w:color w:val="ff99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AB">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AC">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AD">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AE">
            <w:pPr>
              <w:spacing w:after="0" w:lineRule="auto"/>
              <w:rPr/>
            </w:pPr>
            <w:r w:rsidDel="00000000" w:rsidR="00000000" w:rsidRPr="00000000">
              <w:rPr>
                <w:rtl w:val="0"/>
              </w:rPr>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AF">
            <w:pPr>
              <w:spacing w:after="0" w:lineRule="auto"/>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9</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B0">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Penyerahan Sistem AJK Online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1">
            <w:pPr>
              <w:spacing w:after="0"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2">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3">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4">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5">
            <w:pPr>
              <w:spacing w:after="0" w:lineRule="auto"/>
              <w:rPr>
                <w:rFonts w:ascii="Arial" w:cs="Arial" w:eastAsia="Arial" w:hAnsi="Arial"/>
                <w:color w:val="ff9900"/>
              </w:rPr>
            </w:pPr>
            <w:r w:rsidDel="00000000" w:rsidR="00000000" w:rsidRPr="00000000">
              <w:rPr>
                <w:rFonts w:ascii="Arial" w:cs="Arial" w:eastAsia="Arial" w:hAnsi="Arial"/>
                <w:color w:val="ff990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6">
            <w:pPr>
              <w:spacing w:after="0" w:lineRule="auto"/>
              <w:rPr>
                <w:rFonts w:ascii="Arial" w:cs="Arial" w:eastAsia="Arial" w:hAnsi="Arial"/>
                <w:color w:val="ff99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B7">
            <w:pPr>
              <w:spacing w:after="0" w:lineRule="auto"/>
              <w:rPr/>
            </w:pPr>
            <w:r w:rsidDel="00000000" w:rsidR="00000000" w:rsidRPr="00000000">
              <w:rPr>
                <w:rtl w:val="0"/>
              </w:rPr>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B8">
            <w:pPr>
              <w:spacing w:after="0" w:lineRule="auto"/>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B9">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Pembayaran</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A">
            <w:pPr>
              <w:spacing w:after="0"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B">
            <w:pPr>
              <w:spacing w:after="0"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C">
            <w:pPr>
              <w:spacing w:after="0" w:lineRule="auto"/>
              <w:rPr>
                <w:rFonts w:ascii="Arial" w:cs="Arial" w:eastAsia="Arial" w:hAnsi="Arial"/>
                <w:color w:val="ff99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D">
            <w:pPr>
              <w:spacing w:after="0" w:lineRule="auto"/>
              <w:rPr>
                <w:rFonts w:ascii="Arial" w:cs="Arial" w:eastAsia="Arial" w:hAnsi="Arial"/>
                <w:color w:val="ff99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E">
            <w:pPr>
              <w:spacing w:after="0" w:lineRule="auto"/>
              <w:rPr>
                <w:rFonts w:ascii="Arial" w:cs="Arial" w:eastAsia="Arial" w:hAnsi="Arial"/>
                <w:color w:val="ff99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F">
            <w:pPr>
              <w:spacing w:after="0" w:lineRule="auto"/>
              <w:rPr>
                <w:rFonts w:ascii="Arial" w:cs="Arial" w:eastAsia="Arial" w:hAnsi="Arial"/>
                <w:color w:val="ff99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30.0" w:type="dxa"/>
              <w:left w:w="45.0" w:type="dxa"/>
              <w:bottom w:w="30.0" w:type="dxa"/>
              <w:right w:w="45.0" w:type="dxa"/>
            </w:tcMar>
            <w:vAlign w:val="center"/>
          </w:tcPr>
          <w:p w:rsidR="00000000" w:rsidDel="00000000" w:rsidP="00000000" w:rsidRDefault="00000000" w:rsidRPr="00000000" w14:paraId="000000C0">
            <w:pPr>
              <w:spacing w:after="0" w:lineRule="auto"/>
              <w:rPr/>
            </w:pPr>
            <w:r w:rsidDel="00000000" w:rsidR="00000000" w:rsidRPr="00000000">
              <w:rPr>
                <w:rtl w:val="0"/>
              </w:rPr>
            </w:r>
          </w:p>
        </w:tc>
      </w:tr>
    </w:tb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Tata waktu dan alur skema investasi pelaksanaan Akad Perjanjian disusun berdasarkan jadwal sebagai berikut :</w:t>
      </w:r>
    </w:p>
    <w:p w:rsidR="00000000" w:rsidDel="00000000" w:rsidP="00000000" w:rsidRDefault="00000000" w:rsidRPr="00000000" w14:paraId="000000C3">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tbl>
      <w:tblPr>
        <w:tblStyle w:val="Table2"/>
        <w:tblW w:w="8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5856"/>
        <w:tblGridChange w:id="0">
          <w:tblGrid>
            <w:gridCol w:w="2689"/>
            <w:gridCol w:w="5856"/>
          </w:tblGrid>
        </w:tblGridChange>
      </w:tblGrid>
      <w:tr>
        <w:trPr>
          <w:cantSplit w:val="0"/>
          <w:trHeight w:val="699" w:hRule="atLeast"/>
          <w:tblHeader w:val="0"/>
        </w:trPr>
        <w:tc>
          <w:tcPr>
            <w:gridSpan w:val="2"/>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Skema Investasi “Pengembangan Sistem Asuransi Jiwa Kredit Bank BSI”</w:t>
            </w:r>
          </w:p>
        </w:tc>
      </w:tr>
      <w:tr>
        <w:trPr>
          <w:cantSplit w:val="0"/>
          <w:trHeight w:val="985" w:hRule="atLeast"/>
          <w:tblHeader w:val="0"/>
        </w:trPr>
        <w:tc>
          <w:tcPr/>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 13, Januari 2023</w:t>
            </w:r>
          </w:p>
        </w:tc>
        <w:tc>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Pengajuan Proposal Kerja Sama serta Pemberian Modal Kerja (Investasi) yang telah disepakati pada akad Perjanjian Kerjasama.</w:t>
            </w:r>
          </w:p>
        </w:tc>
      </w:tr>
      <w:tr>
        <w:trPr>
          <w:cantSplit w:val="0"/>
          <w:trHeight w:val="712" w:hRule="atLeast"/>
          <w:tblHeader w:val="0"/>
        </w:trPr>
        <w:tc>
          <w:tcPr/>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Januari – 21 Juli 2023</w:t>
            </w:r>
          </w:p>
        </w:tc>
        <w:tc>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Pengerjaan Proyek “Pengembangan Sistem Asuransi Jiwa Kredit Bank BSI”</w:t>
            </w:r>
          </w:p>
        </w:tc>
      </w:tr>
      <w:tr>
        <w:trPr>
          <w:cantSplit w:val="0"/>
          <w:trHeight w:val="837" w:hRule="atLeast"/>
          <w:tblHeader w:val="0"/>
        </w:trPr>
        <w:tc>
          <w:tcPr/>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 26,  Juli 2023</w:t>
            </w:r>
          </w:p>
        </w:tc>
        <w:tc>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Pelaporan Hasil Kerja “Pengembangan Sistem Asuransi Jiwa Kredit Bank BSI”</w:t>
            </w:r>
          </w:p>
        </w:tc>
      </w:tr>
      <w:tr>
        <w:trPr>
          <w:cantSplit w:val="0"/>
          <w:trHeight w:val="868" w:hRule="atLeast"/>
          <w:tblHeader w:val="0"/>
        </w:trPr>
        <w:tc>
          <w:tcPr/>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27 - 31 Juli  2023</w:t>
            </w:r>
          </w:p>
        </w:tc>
        <w:tc>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Pembayaran Proyek “Pengembangan Sistem Asuransi Jiwa Kredit Bank BSI” serta bagi hasil Usaha.</w:t>
            </w:r>
          </w:p>
        </w:tc>
      </w:tr>
    </w:tb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Pasal 8</w:t>
      </w:r>
    </w:p>
    <w:p w:rsidR="00000000" w:rsidDel="00000000" w:rsidP="00000000" w:rsidRDefault="00000000" w:rsidRPr="00000000" w14:paraId="000000D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Hak dan Kewajiban</w:t>
      </w:r>
    </w:p>
    <w:p w:rsidR="00000000" w:rsidDel="00000000" w:rsidP="00000000" w:rsidRDefault="00000000" w:rsidRPr="00000000" w14:paraId="000000D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Selama jangka waktu Perjanjian Kerjasama Bagi Hasil ini, PIHAK PERTAMA :</w:t>
      </w:r>
    </w:p>
    <w:p w:rsidR="00000000" w:rsidDel="00000000" w:rsidP="00000000" w:rsidRDefault="00000000" w:rsidRPr="00000000" w14:paraId="000000D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Berkewajiban untuk memberikan sejumlah modal usaha apabila dibutuhkan </w:t>
      </w:r>
    </w:p>
    <w:p w:rsidR="00000000" w:rsidDel="00000000" w:rsidP="00000000" w:rsidRDefault="00000000" w:rsidRPr="00000000" w14:paraId="000000D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Berkewajiban untuk tidak melakukan pemaksaan kepada PIHAK KEDUA menjalankan usul, saran ataupun keinginannya dalam menjalankan proyek ini. </w:t>
      </w:r>
    </w:p>
    <w:p w:rsidR="00000000" w:rsidDel="00000000" w:rsidP="00000000" w:rsidRDefault="00000000" w:rsidRPr="00000000" w14:paraId="000000D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Berkewajiban untuk tidak mengambil atau menambah sejumlah modal usaha, kecuali dalam keadaan istimewa yang disepakati PARA PIHAK.</w:t>
      </w:r>
    </w:p>
    <w:p w:rsidR="00000000" w:rsidDel="00000000" w:rsidP="00000000" w:rsidRDefault="00000000" w:rsidRPr="00000000" w14:paraId="000000D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Berkewajiban membayar kerugian pengelolaan usaha kepada PIHAK KEDUA sehubungan dengan pembatalan Akad Perjanjian Kerjasama Bagi Hasil yang disebabkan oleh pelanggaran PIHAK PERTAMA terhadap isi Akad .</w:t>
      </w:r>
    </w:p>
    <w:p w:rsidR="00000000" w:rsidDel="00000000" w:rsidP="00000000" w:rsidRDefault="00000000" w:rsidRPr="00000000" w14:paraId="000000D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Berkewajiban membayar kerugian pengelolaan usaha (tercantum dalam Pasal 8 ayat 1 (4) selambat-lambatnya 1 bulan setelah perhitungan untung-rugi.</w:t>
      </w:r>
    </w:p>
    <w:p w:rsidR="00000000" w:rsidDel="00000000" w:rsidP="00000000" w:rsidRDefault="00000000" w:rsidRPr="00000000" w14:paraId="000000D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Berhak mengawasi pengerjaan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dengan disertai PIHAK KEDUA.</w:t>
      </w:r>
    </w:p>
    <w:p w:rsidR="00000000" w:rsidDel="00000000" w:rsidP="00000000" w:rsidRDefault="00000000" w:rsidRPr="00000000" w14:paraId="000000D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Berhak mengajukan usul dan saran kepada PIHAK KEDUA untuk memperbaiki dan/atau menyempurnakan kegiatan pengerjaan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sedang berjalan.</w:t>
      </w:r>
    </w:p>
    <w:p w:rsidR="00000000" w:rsidDel="00000000" w:rsidP="00000000" w:rsidRDefault="00000000" w:rsidRPr="00000000" w14:paraId="000000D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PIHAK PERTAMA berkewajiban membaca dan memeriksa serta memberikan respon terhadap laporan transaksi yang dibuat dan dikirimkan oleh PIHAK KEDUA dalam tempo selambat-lambatnya 2 hari setelah laporan diterima.</w:t>
      </w:r>
    </w:p>
    <w:p w:rsidR="00000000" w:rsidDel="00000000" w:rsidP="00000000" w:rsidRDefault="00000000" w:rsidRPr="00000000" w14:paraId="000000D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Apabila dipandang perlu, PIHAK PERTAMA berhak mengajukan keberatan / penolakan atas laporan transaksi yang dibuat oleh PIHAK KEDUA dan meminta penjelasan lebih lanjut dari PIHAK KEDUA.</w:t>
      </w:r>
    </w:p>
    <w:p w:rsidR="00000000" w:rsidDel="00000000" w:rsidP="00000000" w:rsidRDefault="00000000" w:rsidRPr="00000000" w14:paraId="000000D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Berhak membatalkan perjanjian dan/atau mengambil kembali sebagian atau seluruh modal usaha dari PIHAK KEUDA setelah terbukti PIHAK KEDUA melakukan penyelewengan dan/atau mengkhianati isi Akad yang meliputi hal-hal sebagai berikut:</w:t>
      </w:r>
    </w:p>
    <w:p w:rsidR="00000000" w:rsidDel="00000000" w:rsidP="00000000" w:rsidRDefault="00000000" w:rsidRPr="00000000" w14:paraId="000000DD">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144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serius mengelola modal PIHAK PERTAMA dan penyalahgunaan modal kerja tidak untuk kebutuhan pengerjaan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E">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144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mengirimkan laporan transaksi sesuai yang disepakati dalam Akad Perjanjian Kerjasama Bagi Hasil ini.</w:t>
      </w:r>
    </w:p>
    <w:p w:rsidR="00000000" w:rsidDel="00000000" w:rsidP="00000000" w:rsidRDefault="00000000" w:rsidRPr="00000000" w14:paraId="000000DF">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144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menyerahkan bagi hasil usaha kepada PIHAK PERTAMA sesuai yang diatur dalam Akad Perjanjian Kerjasama Bagi Hasil ini.</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Selama jangka waktu Perjanjian Kerjasama Bagi Hasil, PIHAK KEDUA :</w:t>
      </w:r>
    </w:p>
    <w:p w:rsidR="00000000" w:rsidDel="00000000" w:rsidP="00000000" w:rsidRDefault="00000000" w:rsidRPr="00000000" w14:paraId="000000E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Berkewajiban mengelola modal usaha yang telah diterima dari PIHAK PERTAMA untuk pengerjaan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telah di tetapkan oleh PARA PIHAK.</w:t>
      </w:r>
    </w:p>
    <w:p w:rsidR="00000000" w:rsidDel="00000000" w:rsidP="00000000" w:rsidRDefault="00000000" w:rsidRPr="00000000" w14:paraId="000000E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Berkewajiban membuat laporan kegiatan pengerjaan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melaporkan perkembanganmnya kepada PIHAK PERTAMA.</w:t>
      </w:r>
    </w:p>
    <w:p w:rsidR="00000000" w:rsidDel="00000000" w:rsidP="00000000" w:rsidRDefault="00000000" w:rsidRPr="00000000" w14:paraId="000000E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Berkewajiban melaporkan kejadian-kejadian istimewa (musibah/Force majure) yang terjadi di tengah-tengah pekerjaan berlangsung kepada PIHAK PERTAMA selambat-lambat 3 hari setelah kejadian.</w:t>
      </w:r>
    </w:p>
    <w:p w:rsidR="00000000" w:rsidDel="00000000" w:rsidP="00000000" w:rsidRDefault="00000000" w:rsidRPr="00000000" w14:paraId="000000E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Berhak melaksanakan atau tidak melaksanakan usul, saran atau keinginan PIHAK PERTAMA.</w:t>
      </w:r>
    </w:p>
    <w:p w:rsidR="00000000" w:rsidDel="00000000" w:rsidP="00000000" w:rsidRDefault="00000000" w:rsidRPr="00000000" w14:paraId="000000E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Berhak membatalkan perjanjian dan atau mengembalikan modal usaha kepada PIHAK PERTMA setelah terbukti bahwa PIHAK PERTAMA melakukan penyelewengan dan/atau mengkhianati isi Akad Perjanjian Kerjasama Bagi Hasil ini yang meliputi hal-hal sebagai berikut:</w:t>
      </w:r>
    </w:p>
    <w:p w:rsidR="00000000" w:rsidDel="00000000" w:rsidP="00000000" w:rsidRDefault="00000000" w:rsidRPr="00000000" w14:paraId="000000E7">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144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menyetorkan modal kerja proyek </w:t>
      </w:r>
      <w:r w:rsidDel="00000000" w:rsidR="00000000" w:rsidRPr="00000000">
        <w:rPr>
          <w:rFonts w:ascii="Times New Roman" w:cs="Times New Roman" w:eastAsia="Times New Roman" w:hAnsi="Times New Roman"/>
          <w:sz w:val="24"/>
          <w:szCs w:val="24"/>
          <w:rtl w:val="0"/>
        </w:rPr>
        <w:t xml:space="preserve">“Pengembangan Sistem Asuransi Jiwa Kredit Bank BSI”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sesuai kesepakatan yang diatur dalam Akad Perjanjian Kerjasama Bagi Hasil ini</w:t>
      </w:r>
    </w:p>
    <w:p w:rsidR="00000000" w:rsidDel="00000000" w:rsidP="00000000" w:rsidRDefault="00000000" w:rsidRPr="00000000" w14:paraId="000000E8">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144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memberikan tanggapan atas laporan keuangan transaksi yang diberikan oleh Pihak Kedua sesuai dengan tata waktu yang diatur dalam Akad Perjanjian Kerjasama Bagi Hasil ini.</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Pasal 9</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Penambahan Sejumlah Modal Usaha</w:t>
      </w:r>
    </w:p>
    <w:p w:rsidR="00000000" w:rsidDel="00000000" w:rsidP="00000000" w:rsidRDefault="00000000" w:rsidRPr="00000000" w14:paraId="000000E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Besar modal usaha dalam  ini dapat diperbesar atas kesepakatan PARA PIHAK sesuai dengan kebutuhan perkembangan usaha yang detilnya akan didiskusikan lebih lanjut oleh PARA PIHAK.</w:t>
      </w:r>
    </w:p>
    <w:p w:rsidR="00000000" w:rsidDel="00000000" w:rsidP="00000000" w:rsidRDefault="00000000" w:rsidRPr="00000000" w14:paraId="000000E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Segala sesuatu yang menyangkut penambahan sejumlah modal usaha dalam Perjanjian Kerjasama Bagi Hasil akan di atur lebih lanjut dan akan menjadi addendum dari Akad Perjanjian Kerjasama Bagi Hasil ini.</w:t>
      </w:r>
    </w:p>
    <w:p w:rsidR="00000000" w:rsidDel="00000000" w:rsidP="00000000" w:rsidRDefault="00000000" w:rsidRPr="00000000" w14:paraId="000000E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Pasal 10</w:t>
      </w:r>
    </w:p>
    <w:p w:rsidR="00000000" w:rsidDel="00000000" w:rsidP="00000000" w:rsidRDefault="00000000" w:rsidRPr="00000000" w14:paraId="000000F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Pengurangan Sejumlah Modal Usaha</w:t>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PIHAK</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berhak mengambil atau mengurangi sejumlah modal usaha pada saat kegiatan usaha sedang berlangsung.</w:t>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PIHAK dapat bersepakat mengurangi sejumlah modal pada saat kegiatan usaha sedang berjalan, apabila hal ini sangat diperlukan.</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Segala sesuatu yang menyangkut pengurangan jumlah modal usaha dalam Perjanjian Kerjasama Bagi Hasil ini akan diatur lebih lanjut dan akan menjadi addendum dari Akad Perjanjian Kerjasama Bagi Hasil ini.</w:t>
      </w:r>
    </w:p>
    <w:p w:rsidR="00000000" w:rsidDel="00000000" w:rsidP="00000000" w:rsidRDefault="00000000" w:rsidRPr="00000000" w14:paraId="000000F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Pasal 11</w:t>
      </w:r>
    </w:p>
    <w:p w:rsidR="00000000" w:rsidDel="00000000" w:rsidP="00000000" w:rsidRDefault="00000000" w:rsidRPr="00000000" w14:paraId="000000F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Resiko Usaha</w:t>
      </w:r>
    </w:p>
    <w:p w:rsidR="00000000" w:rsidDel="00000000" w:rsidP="00000000" w:rsidRDefault="00000000" w:rsidRPr="00000000" w14:paraId="000000F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menjalankan Akad Perjanjian Kerjasama ini, kedua belah pihak menyadari bahwa setiap pekerjaan mengandung resiko kegagalan atau kerugian, sebagai  bagian dari ikhtiar PIHAK KEDUA telah mengidentifikasi resiko-resiko pekerjaan yang mungkin terjadi dan akan berusaha sepenuh hati dan sekuat tenaga untuk mengelola resiko tersebut untuk menghindari terjadinya kerugian. Namun demikian PARA PIHAK menyadari sepenuhnya bahwa setelah usaha dan do’a dilakukan maka hasil akhir adalah sesuai ketetapan Tuhan YME.</w:t>
      </w:r>
      <w:r w:rsidDel="00000000" w:rsidR="00000000" w:rsidRPr="00000000">
        <w:rPr>
          <w:rtl w:val="0"/>
        </w:rPr>
      </w:r>
    </w:p>
    <w:p w:rsidR="00000000" w:rsidDel="00000000" w:rsidP="00000000" w:rsidRDefault="00000000" w:rsidRPr="00000000" w14:paraId="000000F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Pasal 12</w:t>
      </w:r>
    </w:p>
    <w:p w:rsidR="00000000" w:rsidDel="00000000" w:rsidP="00000000" w:rsidRDefault="00000000" w:rsidRPr="00000000" w14:paraId="000000F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Perselisihan</w:t>
      </w:r>
    </w:p>
    <w:p w:rsidR="00000000" w:rsidDel="00000000" w:rsidP="00000000" w:rsidRDefault="00000000" w:rsidRPr="00000000" w14:paraId="000000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Apabila terjadi perselisihan antara PARA PIHAK sehubungan dengan Akad Perjanjian Kerjasama Bagi Hasil ini, maka Kedua Pihak bersepakat menyelesaikannya secara musyawarah.</w:t>
      </w:r>
    </w:p>
    <w:p w:rsidR="00000000" w:rsidDel="00000000" w:rsidP="00000000" w:rsidRDefault="00000000" w:rsidRPr="00000000" w14:paraId="000000F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Segala sesuatu yang merupakan hasil penyelesaian perselisihan akan dituangkan dalam suatu berita acara.</w:t>
      </w:r>
    </w:p>
    <w:p w:rsidR="00000000" w:rsidDel="00000000" w:rsidP="00000000" w:rsidRDefault="00000000" w:rsidRPr="00000000" w14:paraId="000000F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Apabila usaha menyelesaikan perbedaan pendapat atau perselisihan melalui musyawarah untuk mufakat tidak menghasilkan keputusan yang disepakati oleh kedua belah pihak, maka dengan ini Pihak Pertama dan Pihak Kedua sepakat untuk menyelesaikanya sesuai dengan hukum yang berlaku di Negara Republik Indonesia dan menunjuk Panitera di Pengadilan Negeri Tanggerang Selatan sebagai tempat pencatatan perselisihan dimaksud.</w:t>
      </w:r>
    </w:p>
    <w:p w:rsidR="00000000" w:rsidDel="00000000" w:rsidP="00000000" w:rsidRDefault="00000000" w:rsidRPr="00000000" w14:paraId="000000F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Pasal 13</w:t>
      </w:r>
    </w:p>
    <w:p w:rsidR="00000000" w:rsidDel="00000000" w:rsidP="00000000" w:rsidRDefault="00000000" w:rsidRPr="00000000" w14:paraId="0000010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Lain-lain</w:t>
      </w:r>
    </w:p>
    <w:p w:rsidR="00000000" w:rsidDel="00000000" w:rsidP="00000000" w:rsidRDefault="00000000" w:rsidRPr="00000000" w14:paraId="000001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Surat Akad Perjanjian Kerjasama Bagi  Hasil ini mengikat secara hukum kepada Kedua Pihak.</w:t>
      </w:r>
    </w:p>
    <w:p w:rsidR="00000000" w:rsidDel="00000000" w:rsidP="00000000" w:rsidRDefault="00000000" w:rsidRPr="00000000" w14:paraId="000001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Hal-hal lain yang mungkin kelak akan muncul di kemudian hari dan belum diatur dalam surat Akad Perjanjian Kerjasama Bagi Hasil ini akan dimusyawarahkan Kedua Pihak yang akan dituangkan dalam bentuk addendum.</w:t>
      </w:r>
    </w:p>
    <w:p w:rsidR="00000000" w:rsidDel="00000000" w:rsidP="00000000" w:rsidRDefault="00000000" w:rsidRPr="00000000" w14:paraId="000001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81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Surat Akad ini dibuat rangkap dua dan seluruhnya ditandatangani oleh Kedua Pihak pada hari dan tanggal tersebut di atas dan di beri materai yang cukup. Selanjutnya 1 rangkap asli akan di berikan kepada PIHAK PERTAMA sebagai Investor dan satu rangkap asli lainnya akan di berikan kepada PIHAK KEDUA selaku pengelola.</w:t>
      </w:r>
      <w:r w:rsidDel="00000000" w:rsidR="00000000" w:rsidRPr="00000000">
        <w:rPr>
          <w:rtl w:val="0"/>
        </w:rPr>
      </w:r>
    </w:p>
    <w:p w:rsidR="00000000" w:rsidDel="00000000" w:rsidP="00000000" w:rsidRDefault="00000000" w:rsidRPr="00000000" w14:paraId="00000105">
      <w:pPr>
        <w:tabs>
          <w:tab w:val="left" w:pos="81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Pasal 14</w:t>
      </w:r>
    </w:p>
    <w:p w:rsidR="00000000" w:rsidDel="00000000" w:rsidP="00000000" w:rsidRDefault="00000000" w:rsidRPr="00000000" w14:paraId="000001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tabs>
          <w:tab w:val="left" w:pos="360"/>
        </w:tabs>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kepentingan transaksi pengiriman uang selama Akad Perjanjian Kerjasama Bagi Hasil ini berlangsung, rekening yang digunakan oleh masing-masing Pihak adalah sebagai berikut:</w:t>
      </w:r>
    </w:p>
    <w:p w:rsidR="00000000" w:rsidDel="00000000" w:rsidP="00000000" w:rsidRDefault="00000000" w:rsidRPr="00000000" w14:paraId="00000109">
      <w:pPr>
        <w:tabs>
          <w:tab w:val="left" w:pos="360"/>
        </w:tabs>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PihakPertama: Bank </w:t>
      </w:r>
      <w:r w:rsidDel="00000000" w:rsidR="00000000" w:rsidRPr="00000000">
        <w:rPr>
          <w:rFonts w:ascii="Times New Roman" w:cs="Times New Roman" w:eastAsia="Times New Roman" w:hAnsi="Times New Roman"/>
          <w:color w:val="222222"/>
          <w:sz w:val="24"/>
          <w:szCs w:val="24"/>
          <w:rtl w:val="0"/>
        </w:rPr>
        <w:t xml:space="preserve">Mandiri</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 atas nama: </w:t>
      </w:r>
      <w:r w:rsidDel="00000000" w:rsidR="00000000" w:rsidRPr="00000000">
        <w:rPr>
          <w:rFonts w:ascii="Times New Roman" w:cs="Times New Roman" w:eastAsia="Times New Roman" w:hAnsi="Times New Roman"/>
          <w:sz w:val="24"/>
          <w:szCs w:val="24"/>
          <w:rtl w:val="0"/>
        </w:rPr>
        <w:t xml:space="preserve">Lewis Khusmanto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No.Rekening: </w:t>
      </w:r>
      <w:r w:rsidDel="00000000" w:rsidR="00000000" w:rsidRPr="00000000">
        <w:rPr>
          <w:rFonts w:ascii="Times New Roman" w:cs="Times New Roman" w:eastAsia="Times New Roman" w:hAnsi="Times New Roman"/>
          <w:color w:val="222222"/>
          <w:sz w:val="24"/>
          <w:szCs w:val="24"/>
          <w:rtl w:val="0"/>
        </w:rPr>
        <w:t xml:space="preserve">1240010210079</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PihakKedua: Bank BCA ; atas nama: PT. Komunitas Ide Sejahtera; No.Rekening: 2065559879</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0" w:lineRule="auto"/>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Jakarta, 12 Januari  2023</w:t>
      </w:r>
    </w:p>
    <w:p w:rsidR="00000000" w:rsidDel="00000000" w:rsidP="00000000" w:rsidRDefault="00000000" w:rsidRPr="00000000" w14:paraId="0000010E">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PihakPertama,</w:t>
        <w:tab/>
        <w:tab/>
        <w:tab/>
        <w:tab/>
        <w:tab/>
        <w:tab/>
        <w:t xml:space="preserve">  Pihak Kedua,</w:t>
      </w:r>
    </w:p>
    <w:p w:rsidR="00000000" w:rsidDel="00000000" w:rsidP="00000000" w:rsidRDefault="00000000" w:rsidRPr="00000000" w14:paraId="00000110">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Investor</w:t>
        <w:tab/>
        <w:tab/>
        <w:tab/>
        <w:tab/>
        <w:tab/>
        <w:tab/>
        <w:t xml:space="preserve">  </w:t>
        <w:tab/>
        <w:t xml:space="preserve">Direktur Utama </w:t>
      </w:r>
    </w:p>
    <w:p w:rsidR="00000000" w:rsidDel="00000000" w:rsidP="00000000" w:rsidRDefault="00000000" w:rsidRPr="00000000" w14:paraId="00000111">
      <w:pPr>
        <w:spacing w:after="0" w:lineRule="auto"/>
        <w:ind w:left="432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PT. Komunitas Ide Sejahtera</w:t>
      </w:r>
    </w:p>
    <w:p w:rsidR="00000000" w:rsidDel="00000000" w:rsidP="00000000" w:rsidRDefault="00000000" w:rsidRPr="00000000" w14:paraId="00000112">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Saksi</w:t>
      </w:r>
    </w:p>
    <w:p w:rsidR="00000000" w:rsidDel="00000000" w:rsidP="00000000" w:rsidRDefault="00000000" w:rsidRPr="00000000" w14:paraId="000001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w:t>
        <w:tab/>
        <w:tab/>
        <w:tab/>
        <w:t xml:space="preserve">       </w:t>
        <w:tab/>
        <w:tab/>
        <w:tab/>
        <w:t xml:space="preserve">_________________</w:t>
      </w:r>
    </w:p>
    <w:p w:rsidR="00000000" w:rsidDel="00000000" w:rsidP="00000000" w:rsidRDefault="00000000" w:rsidRPr="00000000" w14:paraId="0000011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Lewis Khusmanto</w:t>
        <w:tab/>
        <w:tab/>
        <w:tab/>
        <w:tab/>
        <w:tab/>
        <w:tab/>
        <w:t xml:space="preserve">  Arief Kurniawan</w:t>
      </w:r>
      <w:r w:rsidDel="00000000" w:rsidR="00000000" w:rsidRPr="00000000">
        <w:rPr>
          <w:rtl w:val="0"/>
        </w:rPr>
      </w:r>
    </w:p>
    <w:p w:rsidR="00000000" w:rsidDel="00000000" w:rsidP="00000000" w:rsidRDefault="00000000" w:rsidRPr="00000000" w14:paraId="0000011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11B">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Raihan Ramadhan</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Halaman</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Halaman </w:t>
    </w:r>
    <w:r w:rsidDel="00000000" w:rsidR="00000000" w:rsidRPr="00000000">
      <w:rPr>
        <w:rFonts w:ascii="Arial" w:cs="Arial" w:eastAsia="Arial" w:hAnsi="Arial"/>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dari 8</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4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4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-247649</wp:posOffset>
          </wp:positionH>
          <wp:positionV relativeFrom="paragraph">
            <wp:posOffset>-111759</wp:posOffset>
          </wp:positionV>
          <wp:extent cx="1025525" cy="1023620"/>
          <wp:effectExtent b="0" l="0" r="0" t="0"/>
          <wp:wrapNone/>
          <wp:docPr id="2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25525" cy="1023620"/>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773176</wp:posOffset>
              </wp:positionH>
              <wp:positionV relativeFrom="paragraph">
                <wp:posOffset>11177</wp:posOffset>
              </wp:positionV>
              <wp:extent cx="5626100" cy="911860"/>
              <wp:effectExtent b="0" l="0" r="0" t="0"/>
              <wp:wrapNone/>
              <wp:docPr id="21" name=""/>
              <a:graphic>
                <a:graphicData uri="http://schemas.microsoft.com/office/word/2010/wordprocessingShape">
                  <wps:wsp>
                    <wps:cNvSpPr/>
                    <wps:cNvPr id="2" name="Shape 2"/>
                    <wps:spPr>
                      <a:xfrm>
                        <a:off x="2537713" y="3328833"/>
                        <a:ext cx="5616575" cy="9023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3300"/>
                              <w:sz w:val="24"/>
                              <w:vertAlign w:val="baseline"/>
                            </w:rPr>
                            <w:t xml:space="preserve">PT NUDIRA SUMBER DAYA INDONESIA</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3300"/>
                              <w:sz w:val="24"/>
                              <w:vertAlign w:val="baseline"/>
                            </w:rPr>
                          </w:r>
                          <w:r w:rsidDel="00000000" w:rsidR="00000000" w:rsidRPr="00000000">
                            <w:rPr>
                              <w:rFonts w:ascii="Arial" w:cs="Arial" w:eastAsia="Arial" w:hAnsi="Arial"/>
                              <w:b w:val="0"/>
                              <w:i w:val="0"/>
                              <w:smallCaps w:val="0"/>
                              <w:strike w:val="0"/>
                              <w:color w:val="000000"/>
                              <w:sz w:val="22"/>
                              <w:vertAlign w:val="baseline"/>
                            </w:rPr>
                            <w:t xml:space="preserve">Ruko Taman Yasmin Sektor 6 No: 188, Jl. KH. R. Abdullah Bin Nuh</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Bogor 16163, Indonesia</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Telp: 0251 7538302; Fax: (0251) 7531374</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773176</wp:posOffset>
              </wp:positionH>
              <wp:positionV relativeFrom="paragraph">
                <wp:posOffset>11177</wp:posOffset>
              </wp:positionV>
              <wp:extent cx="5626100" cy="911860"/>
              <wp:effectExtent b="0" l="0" r="0" t="0"/>
              <wp:wrapNone/>
              <wp:docPr id="2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626100" cy="911860"/>
                      </a:xfrm>
                      <a:prstGeom prst="rect"/>
                      <a:ln/>
                    </pic:spPr>
                  </pic:pic>
                </a:graphicData>
              </a:graphic>
            </wp:anchor>
          </w:drawing>
        </mc:Fallback>
      </mc:AlternateConten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4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49" w:hanging="360"/>
      </w:pPr>
      <w:rPr>
        <w:i w:val="0"/>
        <w:sz w:val="24"/>
        <w:szCs w:val="24"/>
      </w:rPr>
    </w:lvl>
    <w:lvl w:ilvl="1">
      <w:start w:val="1"/>
      <w:numFmt w:val="lowerLetter"/>
      <w:lvlText w:val="%2."/>
      <w:lvlJc w:val="left"/>
      <w:pPr>
        <w:ind w:left="1069" w:hanging="360"/>
      </w:pPr>
      <w:rPr>
        <w:b w:val="0"/>
        <w:sz w:val="24"/>
        <w:szCs w:val="24"/>
      </w:rPr>
    </w:lvl>
    <w:lvl w:ilvl="2">
      <w:start w:val="1"/>
      <w:numFmt w:val="lowerRoman"/>
      <w:lvlText w:val="%3."/>
      <w:lvlJc w:val="right"/>
      <w:pPr>
        <w:ind w:left="1789" w:hanging="180"/>
      </w:pPr>
      <w:rPr/>
    </w:lvl>
    <w:lvl w:ilvl="3">
      <w:start w:val="1"/>
      <w:numFmt w:val="decimal"/>
      <w:lvlText w:val="%4."/>
      <w:lvlJc w:val="left"/>
      <w:pPr>
        <w:ind w:left="2509" w:hanging="360"/>
      </w:pPr>
      <w:rPr/>
    </w:lvl>
    <w:lvl w:ilvl="4">
      <w:start w:val="1"/>
      <w:numFmt w:val="lowerLetter"/>
      <w:lvlText w:val="%5."/>
      <w:lvlJc w:val="left"/>
      <w:pPr>
        <w:ind w:left="3229" w:hanging="360"/>
      </w:pPr>
      <w:rPr/>
    </w:lvl>
    <w:lvl w:ilvl="5">
      <w:start w:val="1"/>
      <w:numFmt w:val="lowerRoman"/>
      <w:lvlText w:val="%6."/>
      <w:lvlJc w:val="right"/>
      <w:pPr>
        <w:ind w:left="3949" w:hanging="180"/>
      </w:pPr>
      <w:rPr/>
    </w:lvl>
    <w:lvl w:ilvl="6">
      <w:start w:val="1"/>
      <w:numFmt w:val="decimal"/>
      <w:lvlText w:val="%7."/>
      <w:lvlJc w:val="left"/>
      <w:pPr>
        <w:ind w:left="4669" w:hanging="360"/>
      </w:pPr>
      <w:rPr/>
    </w:lvl>
    <w:lvl w:ilvl="7">
      <w:start w:val="1"/>
      <w:numFmt w:val="lowerLetter"/>
      <w:lvlText w:val="%8."/>
      <w:lvlJc w:val="left"/>
      <w:pPr>
        <w:ind w:left="5389" w:hanging="360"/>
      </w:pPr>
      <w:rPr/>
    </w:lvl>
    <w:lvl w:ilvl="8">
      <w:start w:val="1"/>
      <w:numFmt w:val="lowerRoman"/>
      <w:lvlText w:val="%9."/>
      <w:lvlJc w:val="right"/>
      <w:pPr>
        <w:ind w:left="6109" w:hanging="180"/>
      </w:pPr>
      <w:rPr/>
    </w:lvl>
  </w:abstractNum>
  <w:abstractNum w:abstractNumId="6">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1069" w:hanging="360"/>
      </w:pPr>
      <w:rPr>
        <w:b w:val="0"/>
        <w:sz w:val="24"/>
        <w:szCs w:val="24"/>
      </w:rPr>
    </w:lvl>
    <w:lvl w:ilvl="1">
      <w:start w:val="1"/>
      <w:numFmt w:val="lowerLetter"/>
      <w:lvlText w:val="%2."/>
      <w:lvlJc w:val="left"/>
      <w:pPr>
        <w:ind w:left="1069" w:hanging="360"/>
      </w:pPr>
      <w:rPr/>
    </w:lvl>
    <w:lvl w:ilvl="2">
      <w:start w:val="1"/>
      <w:numFmt w:val="lowerRoman"/>
      <w:lvlText w:val="%3."/>
      <w:lvlJc w:val="right"/>
      <w:pPr>
        <w:ind w:left="1789" w:hanging="180"/>
      </w:pPr>
      <w:rPr/>
    </w:lvl>
    <w:lvl w:ilvl="3">
      <w:start w:val="1"/>
      <w:numFmt w:val="decimal"/>
      <w:lvlText w:val="%4."/>
      <w:lvlJc w:val="left"/>
      <w:pPr>
        <w:ind w:left="2509" w:hanging="360"/>
      </w:pPr>
      <w:rPr/>
    </w:lvl>
    <w:lvl w:ilvl="4">
      <w:start w:val="1"/>
      <w:numFmt w:val="lowerLetter"/>
      <w:lvlText w:val="%5."/>
      <w:lvlJc w:val="left"/>
      <w:pPr>
        <w:ind w:left="3229" w:hanging="360"/>
      </w:pPr>
      <w:rPr/>
    </w:lvl>
    <w:lvl w:ilvl="5">
      <w:start w:val="1"/>
      <w:numFmt w:val="lowerRoman"/>
      <w:lvlText w:val="%6."/>
      <w:lvlJc w:val="right"/>
      <w:pPr>
        <w:ind w:left="3949" w:hanging="180"/>
      </w:pPr>
      <w:rPr/>
    </w:lvl>
    <w:lvl w:ilvl="6">
      <w:start w:val="1"/>
      <w:numFmt w:val="decimal"/>
      <w:lvlText w:val="%7."/>
      <w:lvlJc w:val="left"/>
      <w:pPr>
        <w:ind w:left="4669" w:hanging="360"/>
      </w:pPr>
      <w:rPr/>
    </w:lvl>
    <w:lvl w:ilvl="7">
      <w:start w:val="1"/>
      <w:numFmt w:val="lowerLetter"/>
      <w:lvlText w:val="%8."/>
      <w:lvlJc w:val="left"/>
      <w:pPr>
        <w:ind w:left="5389" w:hanging="360"/>
      </w:pPr>
      <w:rPr/>
    </w:lvl>
    <w:lvl w:ilvl="8">
      <w:start w:val="1"/>
      <w:numFmt w:val="lowerRoman"/>
      <w:lvlText w:val="%9."/>
      <w:lvlJc w:val="right"/>
      <w:pPr>
        <w:ind w:left="6109" w:hanging="180"/>
      </w:pPr>
      <w:rPr/>
    </w:lvl>
  </w:abstractNum>
  <w:abstractNum w:abstractNumId="1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1080" w:hanging="360"/>
      </w:pPr>
      <w:rPr>
        <w:rFonts w:ascii="Arial" w:cs="Arial" w:eastAsia="Arial" w:hAnsi="Arial"/>
        <w:b w:val="0"/>
        <w:i w:val="0"/>
        <w:color w:val="000000"/>
        <w:sz w:val="22"/>
        <w:szCs w:val="22"/>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d-ID"/>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0522"/>
    <w:rPr>
      <w:spacing w:val="4"/>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ddress" w:customStyle="1">
    <w:name w:val="Address"/>
    <w:basedOn w:val="Normal"/>
    <w:qFormat w:val="1"/>
    <w:rsid w:val="00770522"/>
    <w:pPr>
      <w:spacing w:after="0"/>
    </w:pPr>
  </w:style>
  <w:style w:type="paragraph" w:styleId="Closing">
    <w:name w:val="Closing"/>
    <w:basedOn w:val="Normal"/>
    <w:next w:val="Signature"/>
    <w:qFormat w:val="1"/>
    <w:rsid w:val="00770522"/>
    <w:pPr>
      <w:keepNext w:val="1"/>
      <w:spacing w:after="1000" w:line="240" w:lineRule="auto"/>
    </w:pPr>
  </w:style>
  <w:style w:type="paragraph" w:styleId="Signature">
    <w:name w:val="Signature"/>
    <w:basedOn w:val="Normal"/>
    <w:next w:val="Normal"/>
    <w:qFormat w:val="1"/>
    <w:rsid w:val="00770522"/>
    <w:pPr>
      <w:keepNext w:val="1"/>
      <w:spacing w:after="360"/>
      <w:contextualSpacing w:val="1"/>
    </w:pPr>
  </w:style>
  <w:style w:type="paragraph" w:styleId="Date">
    <w:name w:val="Date"/>
    <w:basedOn w:val="Normal"/>
    <w:next w:val="Normal"/>
    <w:qFormat w:val="1"/>
    <w:rsid w:val="00770522"/>
    <w:pPr>
      <w:spacing w:after="480" w:line="240" w:lineRule="auto"/>
    </w:pPr>
  </w:style>
  <w:style w:type="paragraph" w:styleId="Header">
    <w:name w:val="header"/>
    <w:basedOn w:val="Normal"/>
    <w:link w:val="HeaderChar"/>
    <w:uiPriority w:val="99"/>
    <w:unhideWhenUsed w:val="1"/>
    <w:rsid w:val="00770522"/>
    <w:pPr>
      <w:tabs>
        <w:tab w:val="center" w:pos="4680"/>
        <w:tab w:val="right" w:pos="9360"/>
      </w:tabs>
      <w:contextualSpacing w:val="1"/>
    </w:pPr>
  </w:style>
  <w:style w:type="character" w:styleId="HeaderChar" w:customStyle="1">
    <w:name w:val="Header Char"/>
    <w:basedOn w:val="DefaultParagraphFont"/>
    <w:link w:val="Header"/>
    <w:uiPriority w:val="99"/>
    <w:rsid w:val="00770522"/>
    <w:rPr>
      <w:spacing w:val="4"/>
      <w:sz w:val="20"/>
    </w:rPr>
  </w:style>
  <w:style w:type="character" w:styleId="PlaceholderText">
    <w:name w:val="Placeholder Text"/>
    <w:basedOn w:val="DefaultParagraphFont"/>
    <w:uiPriority w:val="99"/>
    <w:semiHidden w:val="1"/>
    <w:rsid w:val="00770522"/>
    <w:rPr>
      <w:color w:val="808080"/>
    </w:rPr>
  </w:style>
  <w:style w:type="paragraph" w:styleId="Salutation">
    <w:name w:val="Salutation"/>
    <w:basedOn w:val="Normal"/>
    <w:next w:val="Normal"/>
    <w:qFormat w:val="1"/>
    <w:rsid w:val="00770522"/>
    <w:pPr>
      <w:spacing w:after="200" w:before="400"/>
    </w:pPr>
  </w:style>
  <w:style w:type="paragraph" w:styleId="ListParagraph">
    <w:name w:val="List Paragraph"/>
    <w:basedOn w:val="Normal"/>
    <w:uiPriority w:val="34"/>
    <w:unhideWhenUsed w:val="1"/>
    <w:qFormat w:val="1"/>
    <w:rsid w:val="00727FB2"/>
    <w:pPr>
      <w:ind w:left="720"/>
      <w:contextualSpacing w:val="1"/>
    </w:pPr>
  </w:style>
  <w:style w:type="paragraph" w:styleId="Footer">
    <w:name w:val="footer"/>
    <w:basedOn w:val="Normal"/>
    <w:link w:val="FooterChar"/>
    <w:uiPriority w:val="99"/>
    <w:unhideWhenUsed w:val="1"/>
    <w:rsid w:val="009179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79A5"/>
    <w:rPr>
      <w:spacing w:val="4"/>
      <w:sz w:val="20"/>
    </w:rPr>
  </w:style>
  <w:style w:type="table" w:styleId="TableGrid">
    <w:name w:val="Table Grid"/>
    <w:basedOn w:val="TableNormal"/>
    <w:uiPriority w:val="39"/>
    <w:rsid w:val="00DD19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khcSYUKfaZAAc6mEWIOwcuBlBA==">AMUW2mWi7ssXoGRsVJFGLSybhBqcbJBidmdpaEHxN+crzvOKvtoQ0l1a8ZwS86mR1gKGQDJb8JgISypnQFI9sCN4nmemGyHKZhsxR5u/V0pEI1MFpRYWnVs=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2022-03-30T12:00:00Z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TC034649679991</vt:lpwstr>
  </property>
</Properties>
</file>